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1610D">
      <w:pPr>
        <w:jc w:val="center"/>
        <w:rPr>
          <w:rFonts w:hint="eastAsia" w:ascii="创艺简老宋" w:hAnsi="Times New Roman" w:eastAsia="创艺简老宋" w:cs="Times New Roman"/>
          <w:b/>
          <w:color w:val="FF0000"/>
          <w:spacing w:val="-20"/>
          <w:w w:val="80"/>
          <w:sz w:val="98"/>
          <w:szCs w:val="98"/>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-88265</wp:posOffset>
                </wp:positionH>
                <wp:positionV relativeFrom="paragraph">
                  <wp:posOffset>196850</wp:posOffset>
                </wp:positionV>
                <wp:extent cx="4840605" cy="4220210"/>
                <wp:effectExtent l="0" t="0" r="17145" b="8890"/>
                <wp:wrapSquare wrapText="bothSides"/>
                <wp:docPr id="4" name="文本框 4"/>
                <wp:cNvGraphicFramePr/>
                <a:graphic xmlns:a="http://schemas.openxmlformats.org/drawingml/2006/main">
                  <a:graphicData uri="http://schemas.microsoft.com/office/word/2010/wordprocessingShape">
                    <wps:wsp>
                      <wps:cNvSpPr txBox="1"/>
                      <wps:spPr>
                        <a:xfrm>
                          <a:off x="0" y="0"/>
                          <a:ext cx="4840605" cy="42202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C091AD">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伊春市中级人民法院</w:t>
                            </w:r>
                          </w:p>
                          <w:p w14:paraId="2432C5CD">
                            <w:pPr>
                              <w:keepNext w:val="0"/>
                              <w:keepLines w:val="0"/>
                              <w:pageBreakBefore w:val="0"/>
                              <w:widowControl w:val="0"/>
                              <w:kinsoku/>
                              <w:wordWrap/>
                              <w:overflowPunct/>
                              <w:topLinePunct w:val="0"/>
                              <w:bidi w:val="0"/>
                              <w:adjustRightInd/>
                              <w:snapToGrid/>
                              <w:spacing w:line="1300" w:lineRule="exact"/>
                              <w:jc w:val="distribute"/>
                              <w:textAlignment w:val="auto"/>
                              <w:rPr>
                                <w:rFonts w:hint="default" w:ascii="宋体" w:hAnsi="宋体" w:eastAsia="宋体" w:cs="宋体"/>
                                <w:b/>
                                <w:bCs/>
                                <w:color w:val="FF0000"/>
                                <w:spacing w:val="-20"/>
                                <w:w w:val="60"/>
                                <w:sz w:val="112"/>
                                <w:szCs w:val="112"/>
                                <w:lang w:val="en-US" w:eastAsia="zh-CN"/>
                              </w:rPr>
                            </w:pPr>
                            <w:r>
                              <w:rPr>
                                <w:rFonts w:hint="eastAsia" w:ascii="宋体" w:hAnsi="宋体" w:eastAsia="宋体" w:cs="宋体"/>
                                <w:b/>
                                <w:bCs/>
                                <w:color w:val="FF0000"/>
                                <w:spacing w:val="-20"/>
                                <w:w w:val="60"/>
                                <w:sz w:val="112"/>
                                <w:szCs w:val="112"/>
                                <w:lang w:eastAsia="zh-CN"/>
                              </w:rPr>
                              <w:t>伊春市发展和改革委员会</w:t>
                            </w:r>
                            <w:r>
                              <w:rPr>
                                <w:rFonts w:hint="default" w:ascii="宋体" w:hAnsi="宋体" w:eastAsia="宋体" w:cs="宋体"/>
                                <w:b/>
                                <w:bCs/>
                                <w:color w:val="FF0000"/>
                                <w:spacing w:val="-20"/>
                                <w:w w:val="60"/>
                                <w:sz w:val="112"/>
                                <w:szCs w:val="112"/>
                                <w:lang w:val="en-US" w:eastAsia="zh-CN"/>
                              </w:rPr>
                              <w:t xml:space="preserve">    </w:t>
                            </w:r>
                          </w:p>
                          <w:p w14:paraId="42E2F780">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伊春市市场监督管理局</w:t>
                            </w:r>
                          </w:p>
                          <w:p w14:paraId="66AB8328">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伊春市财政局</w:t>
                            </w:r>
                          </w:p>
                          <w:p w14:paraId="4D02EBB1">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伊春市公共资源交易中心</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95pt;margin-top:15.5pt;height:332.3pt;width:381.15pt;mso-wrap-distance-bottom:0pt;mso-wrap-distance-left:9pt;mso-wrap-distance-right:9pt;mso-wrap-distance-top:0pt;z-index:251664384;mso-width-relative:page;mso-height-relative:page;" fillcolor="#FFFFFF [3201]" filled="t" stroked="f" coordsize="21600,21600" o:gfxdata="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q/J1gAA&#10;AAoBAAAPAAAAAAAAAAEAIAAAACIAAABkcnMvZG93bnJldi54bWxQSwECFAAUAAAACACHTuJAEZGO&#10;iFkCAACcBAAADgAAAAAAAAABACAAAAAlAQAAZHJzL2Uyb0RvYy54bWxQSwUGAAAAAAYABgBZAQAA&#10;8AUAAAAA&#10;">
                <v:fill on="t" focussize="0,0"/>
                <v:stroke on="f" weight="0.5pt"/>
                <v:imagedata o:title=""/>
                <o:lock v:ext="edit" aspectratio="f"/>
                <v:textbox>
                  <w:txbxContent>
                    <w:p w14:paraId="78C091AD">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伊春市中级人民法院</w:t>
                      </w:r>
                    </w:p>
                    <w:p w14:paraId="2432C5CD">
                      <w:pPr>
                        <w:keepNext w:val="0"/>
                        <w:keepLines w:val="0"/>
                        <w:pageBreakBefore w:val="0"/>
                        <w:widowControl w:val="0"/>
                        <w:kinsoku/>
                        <w:wordWrap/>
                        <w:overflowPunct/>
                        <w:topLinePunct w:val="0"/>
                        <w:bidi w:val="0"/>
                        <w:adjustRightInd/>
                        <w:snapToGrid/>
                        <w:spacing w:line="1300" w:lineRule="exact"/>
                        <w:jc w:val="distribute"/>
                        <w:textAlignment w:val="auto"/>
                        <w:rPr>
                          <w:rFonts w:hint="default" w:ascii="宋体" w:hAnsi="宋体" w:eastAsia="宋体" w:cs="宋体"/>
                          <w:b/>
                          <w:bCs/>
                          <w:color w:val="FF0000"/>
                          <w:spacing w:val="-20"/>
                          <w:w w:val="60"/>
                          <w:sz w:val="112"/>
                          <w:szCs w:val="112"/>
                          <w:lang w:val="en-US" w:eastAsia="zh-CN"/>
                        </w:rPr>
                      </w:pPr>
                      <w:r>
                        <w:rPr>
                          <w:rFonts w:hint="eastAsia" w:ascii="宋体" w:hAnsi="宋体" w:eastAsia="宋体" w:cs="宋体"/>
                          <w:b/>
                          <w:bCs/>
                          <w:color w:val="FF0000"/>
                          <w:spacing w:val="-20"/>
                          <w:w w:val="60"/>
                          <w:sz w:val="112"/>
                          <w:szCs w:val="112"/>
                          <w:lang w:eastAsia="zh-CN"/>
                        </w:rPr>
                        <w:t>伊春市发展和改革委员会</w:t>
                      </w:r>
                      <w:r>
                        <w:rPr>
                          <w:rFonts w:hint="default" w:ascii="宋体" w:hAnsi="宋体" w:eastAsia="宋体" w:cs="宋体"/>
                          <w:b/>
                          <w:bCs/>
                          <w:color w:val="FF0000"/>
                          <w:spacing w:val="-20"/>
                          <w:w w:val="60"/>
                          <w:sz w:val="112"/>
                          <w:szCs w:val="112"/>
                          <w:lang w:val="en-US" w:eastAsia="zh-CN"/>
                        </w:rPr>
                        <w:t xml:space="preserve">    </w:t>
                      </w:r>
                    </w:p>
                    <w:p w14:paraId="42E2F780">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伊春市市场监督管理局</w:t>
                      </w:r>
                    </w:p>
                    <w:p w14:paraId="66AB8328">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伊春市财政局</w:t>
                      </w:r>
                    </w:p>
                    <w:p w14:paraId="4D02EBB1">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伊春市公共资源交易中心</w:t>
                      </w:r>
                    </w:p>
                  </w:txbxContent>
                </v:textbox>
                <w10:wrap type="square"/>
              </v:shape>
            </w:pict>
          </mc:Fallback>
        </mc:AlternateContent>
      </w:r>
    </w:p>
    <w:p w14:paraId="1CA76477">
      <w:pPr>
        <w:pStyle w:val="2"/>
        <w:rPr>
          <w:rFonts w:hint="eastAsia" w:ascii="创艺简老宋" w:hAnsi="Times New Roman" w:eastAsia="创艺简老宋" w:cs="Times New Roman"/>
          <w:b/>
          <w:color w:val="FF0000"/>
          <w:spacing w:val="-20"/>
          <w:w w:val="80"/>
          <w:sz w:val="98"/>
          <w:szCs w:val="98"/>
          <w:lang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-172720</wp:posOffset>
                </wp:positionH>
                <wp:positionV relativeFrom="paragraph">
                  <wp:posOffset>739775</wp:posOffset>
                </wp:positionV>
                <wp:extent cx="1363980" cy="1326515"/>
                <wp:effectExtent l="0" t="0" r="7620" b="6985"/>
                <wp:wrapNone/>
                <wp:docPr id="6" name="文本框 6"/>
                <wp:cNvGraphicFramePr/>
                <a:graphic xmlns:a="http://schemas.openxmlformats.org/drawingml/2006/main">
                  <a:graphicData uri="http://schemas.microsoft.com/office/word/2010/wordprocessingShape">
                    <wps:wsp>
                      <wps:cNvSpPr txBox="1"/>
                      <wps:spPr>
                        <a:xfrm>
                          <a:off x="0" y="0"/>
                          <a:ext cx="1363980" cy="1326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1C8129F">
                            <w:pPr>
                              <w:spacing w:line="240" w:lineRule="auto"/>
                              <w:jc w:val="center"/>
                              <w:rPr>
                                <w:rFonts w:hint="eastAsia" w:ascii="宋体" w:hAnsi="宋体" w:eastAsia="宋体" w:cs="宋体"/>
                                <w:b/>
                                <w:bCs/>
                                <w:color w:val="FF0000"/>
                                <w:spacing w:val="-20"/>
                                <w:w w:val="60"/>
                                <w:sz w:val="120"/>
                                <w:szCs w:val="120"/>
                                <w:lang w:eastAsia="zh-CN"/>
                              </w:rPr>
                            </w:pPr>
                            <w:r>
                              <w:rPr>
                                <w:rFonts w:hint="eastAsia" w:ascii="宋体" w:hAnsi="宋体" w:eastAsia="宋体" w:cs="宋体"/>
                                <w:b/>
                                <w:bCs/>
                                <w:color w:val="FF0000"/>
                                <w:spacing w:val="-20"/>
                                <w:w w:val="60"/>
                                <w:sz w:val="120"/>
                                <w:szCs w:val="120"/>
                                <w:lang w:eastAsia="zh-CN"/>
                              </w:rPr>
                              <w:t>文</w:t>
                            </w:r>
                            <w:r>
                              <w:rPr>
                                <w:rFonts w:hint="eastAsia" w:ascii="宋体" w:hAnsi="宋体" w:eastAsia="宋体" w:cs="宋体"/>
                                <w:b/>
                                <w:bCs/>
                                <w:color w:val="FF0000"/>
                                <w:spacing w:val="-20"/>
                                <w:w w:val="60"/>
                                <w:sz w:val="120"/>
                                <w:szCs w:val="120"/>
                                <w:lang w:val="en-US" w:eastAsia="zh-CN"/>
                              </w:rPr>
                              <w:t xml:space="preserve"> </w:t>
                            </w:r>
                            <w:r>
                              <w:rPr>
                                <w:rFonts w:hint="eastAsia" w:ascii="宋体" w:hAnsi="宋体" w:eastAsia="宋体" w:cs="宋体"/>
                                <w:b/>
                                <w:bCs/>
                                <w:color w:val="FF0000"/>
                                <w:spacing w:val="-20"/>
                                <w:w w:val="60"/>
                                <w:sz w:val="120"/>
                                <w:szCs w:val="120"/>
                                <w:lang w:eastAsia="zh-CN"/>
                              </w:rPr>
                              <w:t>件</w:t>
                            </w:r>
                          </w:p>
                          <w:p w14:paraId="66D3EDE6">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pt;margin-top:58.25pt;height:104.45pt;width:107.4pt;z-index:251665408;mso-width-relative:page;mso-height-relative:page;" fillcolor="#FFFFFF [3201]" filled="t" stroked="f" coordsize="21600,21600" o:gfxdata="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A5YJPWAAAACwEAAA8AAAAA&#10;AAAAAQAgAAAAIgAAAGRycy9kb3ducmV2LnhtbFBLAQIUABQAAAAIAIdO4kCxmMf1TwIAAJAEAAAO&#10;AAAAAAAAAAEAIAAAACUBAABkcnMvZTJvRG9jLnhtbFBLBQYAAAAABgAGAFkBAADmBQAAAAA=&#10;">
                <v:fill on="t" focussize="0,0"/>
                <v:stroke on="f" weight="0.5pt"/>
                <v:imagedata o:title=""/>
                <o:lock v:ext="edit" aspectratio="f"/>
                <v:textbox>
                  <w:txbxContent>
                    <w:p w14:paraId="41C8129F">
                      <w:pPr>
                        <w:spacing w:line="240" w:lineRule="auto"/>
                        <w:jc w:val="center"/>
                        <w:rPr>
                          <w:rFonts w:hint="eastAsia" w:ascii="宋体" w:hAnsi="宋体" w:eastAsia="宋体" w:cs="宋体"/>
                          <w:b/>
                          <w:bCs/>
                          <w:color w:val="FF0000"/>
                          <w:spacing w:val="-20"/>
                          <w:w w:val="60"/>
                          <w:sz w:val="120"/>
                          <w:szCs w:val="120"/>
                          <w:lang w:eastAsia="zh-CN"/>
                        </w:rPr>
                      </w:pPr>
                      <w:r>
                        <w:rPr>
                          <w:rFonts w:hint="eastAsia" w:ascii="宋体" w:hAnsi="宋体" w:eastAsia="宋体" w:cs="宋体"/>
                          <w:b/>
                          <w:bCs/>
                          <w:color w:val="FF0000"/>
                          <w:spacing w:val="-20"/>
                          <w:w w:val="60"/>
                          <w:sz w:val="120"/>
                          <w:szCs w:val="120"/>
                          <w:lang w:eastAsia="zh-CN"/>
                        </w:rPr>
                        <w:t>文</w:t>
                      </w:r>
                      <w:r>
                        <w:rPr>
                          <w:rFonts w:hint="eastAsia" w:ascii="宋体" w:hAnsi="宋体" w:eastAsia="宋体" w:cs="宋体"/>
                          <w:b/>
                          <w:bCs/>
                          <w:color w:val="FF0000"/>
                          <w:spacing w:val="-20"/>
                          <w:w w:val="60"/>
                          <w:sz w:val="120"/>
                          <w:szCs w:val="120"/>
                          <w:lang w:val="en-US" w:eastAsia="zh-CN"/>
                        </w:rPr>
                        <w:t xml:space="preserve"> </w:t>
                      </w:r>
                      <w:r>
                        <w:rPr>
                          <w:rFonts w:hint="eastAsia" w:ascii="宋体" w:hAnsi="宋体" w:eastAsia="宋体" w:cs="宋体"/>
                          <w:b/>
                          <w:bCs/>
                          <w:color w:val="FF0000"/>
                          <w:spacing w:val="-20"/>
                          <w:w w:val="60"/>
                          <w:sz w:val="120"/>
                          <w:szCs w:val="120"/>
                          <w:lang w:eastAsia="zh-CN"/>
                        </w:rPr>
                        <w:t>件</w:t>
                      </w:r>
                    </w:p>
                    <w:p w14:paraId="66D3EDE6">
                      <w:pPr>
                        <w:rPr>
                          <w:rFonts w:hint="eastAsia" w:eastAsiaTheme="minorEastAsia"/>
                          <w:lang w:eastAsia="zh-CN"/>
                        </w:rPr>
                      </w:pPr>
                    </w:p>
                  </w:txbxContent>
                </v:textbox>
              </v:shape>
            </w:pict>
          </mc:Fallback>
        </mc:AlternateContent>
      </w:r>
    </w:p>
    <w:p w14:paraId="37EA09D2">
      <w:pPr>
        <w:pStyle w:val="3"/>
        <w:rPr>
          <w:rFonts w:hint="eastAsia" w:ascii="创艺简老宋" w:hAnsi="Times New Roman" w:eastAsia="创艺简老宋" w:cs="Times New Roman"/>
          <w:b/>
          <w:color w:val="FF0000"/>
          <w:spacing w:val="-20"/>
          <w:w w:val="80"/>
          <w:sz w:val="98"/>
          <w:szCs w:val="98"/>
          <w:lang w:eastAsia="zh-CN"/>
        </w:rPr>
      </w:pPr>
    </w:p>
    <w:p w14:paraId="6810E632">
      <w:pPr>
        <w:pStyle w:val="3"/>
        <w:rPr>
          <w:rFonts w:hint="eastAsia" w:ascii="创艺简老宋" w:hAnsi="Times New Roman" w:eastAsia="创艺简老宋" w:cs="Times New Roman"/>
          <w:b/>
          <w:color w:val="FF0000"/>
          <w:spacing w:val="-20"/>
          <w:w w:val="80"/>
          <w:sz w:val="98"/>
          <w:szCs w:val="98"/>
          <w:lang w:eastAsia="zh-CN"/>
        </w:rPr>
      </w:pPr>
    </w:p>
    <w:p w14:paraId="192C3B92">
      <w:pPr>
        <w:spacing w:line="580" w:lineRule="exact"/>
        <w:jc w:val="center"/>
        <w:rPr>
          <w:rFonts w:hint="eastAsia" w:ascii="方正小标宋简体" w:hAnsi="Times New Roman" w:eastAsia="方正小标宋简体" w:cs="Times New Roman"/>
          <w:sz w:val="44"/>
          <w:szCs w:val="44"/>
        </w:rPr>
      </w:pPr>
      <w:r>
        <w:rPr>
          <w:rFonts w:ascii="宋体" w:hAnsi="宋体" w:eastAsia="宋体" w:cs="Times New Roman"/>
          <w:b/>
          <w:sz w:val="74"/>
          <w:szCs w:val="74"/>
        </w:rPr>
        <mc:AlternateContent>
          <mc:Choice Requires="wps">
            <w:drawing>
              <wp:anchor distT="0" distB="0" distL="114300" distR="114300" simplePos="0" relativeHeight="251660288" behindDoc="0" locked="0" layoutInCell="1" allowOverlap="1">
                <wp:simplePos x="0" y="0"/>
                <wp:positionH relativeFrom="column">
                  <wp:posOffset>1504950</wp:posOffset>
                </wp:positionH>
                <wp:positionV relativeFrom="paragraph">
                  <wp:posOffset>337185</wp:posOffset>
                </wp:positionV>
                <wp:extent cx="2838450" cy="3905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38450" cy="390525"/>
                        </a:xfrm>
                        <a:prstGeom prst="rect">
                          <a:avLst/>
                        </a:prstGeom>
                        <a:noFill/>
                        <a:ln>
                          <a:noFill/>
                        </a:ln>
                        <a:effectLst/>
                      </wps:spPr>
                      <wps:txbx>
                        <w:txbxContent>
                          <w:p w14:paraId="5FC92A5E">
                            <w:pPr>
                              <w:ind w:firstLine="320" w:firstLineChars="100"/>
                              <w:jc w:val="both"/>
                              <w:rPr>
                                <w:rFonts w:hint="eastAsia" w:ascii="仿宋" w:hAnsi="仿宋" w:eastAsia="仿宋" w:cs="仿宋"/>
                                <w:sz w:val="34"/>
                                <w:szCs w:val="34"/>
                              </w:rPr>
                            </w:pP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号</w:t>
                            </w:r>
                          </w:p>
                          <w:p w14:paraId="4248DC73">
                            <w:pPr>
                              <w:jc w:val="center"/>
                              <w:rPr>
                                <w:rFonts w:hint="eastAsia" w:ascii="仿宋_GB2312" w:hAnsi="仿宋" w:eastAsia="仿宋_GB2312" w:cs="Times New Roman"/>
                                <w:spacing w:val="40"/>
                                <w:sz w:val="34"/>
                                <w:szCs w:val="34"/>
                              </w:rPr>
                            </w:pPr>
                          </w:p>
                        </w:txbxContent>
                      </wps:txbx>
                      <wps:bodyPr upright="1"/>
                    </wps:wsp>
                  </a:graphicData>
                </a:graphic>
              </wp:anchor>
            </w:drawing>
          </mc:Choice>
          <mc:Fallback>
            <w:pict>
              <v:shape id="_x0000_s1026" o:spid="_x0000_s1026" o:spt="202" type="#_x0000_t202" style="position:absolute;left:0pt;margin-left:118.5pt;margin-top:26.55pt;height:30.75pt;width:223.5pt;z-index:251660288;mso-width-relative:page;mso-height-relative:page;" filled="f" stroked="f" coordsize="21600,21600" o:gfxdata="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KYtS2AAAAAoBAAAPAAAAAAAAAAEAIAAAACIAAABkcnMvZG93bnJldi54bWxQSwECFAAUAAAACACH&#10;TuJA+TCBgLIBAABcAwAADgAAAAAAAAABACAAAAAnAQAAZHJzL2Uyb0RvYy54bWxQSwUGAAAAAAYA&#10;BgBZAQAASwUAAAAA&#10;">
                <v:fill on="f" focussize="0,0"/>
                <v:stroke on="f"/>
                <v:imagedata o:title=""/>
                <o:lock v:ext="edit" aspectratio="f"/>
                <v:textbox>
                  <w:txbxContent>
                    <w:p w14:paraId="5FC92A5E">
                      <w:pPr>
                        <w:ind w:firstLine="320" w:firstLineChars="100"/>
                        <w:jc w:val="both"/>
                        <w:rPr>
                          <w:rFonts w:hint="eastAsia" w:ascii="仿宋" w:hAnsi="仿宋" w:eastAsia="仿宋" w:cs="仿宋"/>
                          <w:sz w:val="34"/>
                          <w:szCs w:val="34"/>
                        </w:rPr>
                      </w:pP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号</w:t>
                      </w:r>
                    </w:p>
                    <w:p w14:paraId="4248DC73">
                      <w:pPr>
                        <w:jc w:val="center"/>
                        <w:rPr>
                          <w:rFonts w:hint="eastAsia" w:ascii="仿宋_GB2312" w:hAnsi="仿宋" w:eastAsia="仿宋_GB2312" w:cs="Times New Roman"/>
                          <w:spacing w:val="40"/>
                          <w:sz w:val="34"/>
                          <w:szCs w:val="34"/>
                        </w:rPr>
                      </w:pPr>
                    </w:p>
                  </w:txbxContent>
                </v:textbox>
              </v:shape>
            </w:pict>
          </mc:Fallback>
        </mc:AlternateContent>
      </w:r>
    </w:p>
    <w:p w14:paraId="0A76CE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4"/>
          <w:szCs w:val="34"/>
        </w:rPr>
      </w:pPr>
      <w:r>
        <w:rPr>
          <w:rFonts w:hint="eastAsia" w:ascii="Times New Roman" w:hAnsi="仿宋_GB2312" w:eastAsia="宋体" w:cs="仿宋_GB2312"/>
          <w:sz w:val="24"/>
        </w:rPr>
        <w:t xml:space="preserve"> </w:t>
      </w: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14:paraId="3B47EF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b/>
          <w:i w:val="0"/>
          <w:caps w:val="0"/>
          <w:spacing w:val="0"/>
          <w:sz w:val="44"/>
          <w:szCs w:val="44"/>
          <w:shd w:val="clear" w:color="auto" w:fill="FFFFFF"/>
          <w:vertAlign w:val="baseline"/>
        </w:rPr>
      </w:pPr>
      <w:r>
        <w:rPr>
          <w:rFonts w:ascii="宋体" w:hAnsi="宋体" w:eastAsia="宋体" w:cs="Times New Roman"/>
          <w:b/>
          <w:sz w:val="74"/>
          <w:szCs w:val="74"/>
        </w:rPr>
        <mc:AlternateContent>
          <mc:Choice Requires="wps">
            <w:drawing>
              <wp:anchor distT="0" distB="0" distL="114300" distR="114300" simplePos="0" relativeHeight="251666432" behindDoc="0" locked="0" layoutInCell="1" allowOverlap="1">
                <wp:simplePos x="0" y="0"/>
                <wp:positionH relativeFrom="column">
                  <wp:posOffset>2512695</wp:posOffset>
                </wp:positionH>
                <wp:positionV relativeFrom="paragraph">
                  <wp:posOffset>4412615</wp:posOffset>
                </wp:positionV>
                <wp:extent cx="2838450" cy="3905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38450" cy="390525"/>
                        </a:xfrm>
                        <a:prstGeom prst="rect">
                          <a:avLst/>
                        </a:prstGeom>
                        <a:noFill/>
                        <a:ln>
                          <a:noFill/>
                        </a:ln>
                        <a:effectLst/>
                      </wps:spPr>
                      <wps:txbx>
                        <w:txbxContent>
                          <w:p w14:paraId="0E4622F0">
                            <w:pPr>
                              <w:jc w:val="center"/>
                              <w:rPr>
                                <w:rFonts w:hint="eastAsia" w:ascii="仿宋" w:hAnsi="仿宋" w:eastAsia="仿宋" w:cs="仿宋"/>
                                <w:sz w:val="34"/>
                                <w:szCs w:val="34"/>
                              </w:rPr>
                            </w:pPr>
                            <w:r>
                              <w:rPr>
                                <w:rFonts w:hint="eastAsia" w:ascii="Times New Roman" w:hAnsi="仿宋_GB2312" w:eastAsia="宋体" w:cs="仿宋_GB2312"/>
                                <w:sz w:val="24"/>
                              </w:rPr>
                              <w:t xml:space="preserve"> </w:t>
                            </w: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4732DDCF">
                            <w:pPr>
                              <w:jc w:val="center"/>
                              <w:rPr>
                                <w:rFonts w:hint="eastAsia" w:ascii="仿宋_GB2312" w:hAnsi="仿宋" w:eastAsia="仿宋_GB2312" w:cs="Times New Roman"/>
                                <w:spacing w:val="40"/>
                                <w:sz w:val="34"/>
                                <w:szCs w:val="34"/>
                              </w:rPr>
                            </w:pPr>
                          </w:p>
                        </w:txbxContent>
                      </wps:txbx>
                      <wps:bodyPr upright="1"/>
                    </wps:wsp>
                  </a:graphicData>
                </a:graphic>
              </wp:anchor>
            </w:drawing>
          </mc:Choice>
          <mc:Fallback>
            <w:pict>
              <v:shape id="_x0000_s1026" o:spid="_x0000_s1026" o:spt="202" type="#_x0000_t202" style="position:absolute;left:0pt;margin-left:197.85pt;margin-top:347.45pt;height:30.75pt;width:223.5pt;z-index:251666432;mso-width-relative:page;mso-height-relative:page;" filled="f" stroked="f" coordsize="21600,21600" o:gfxdata="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G1YB2AAAAAsBAAAPAAAAAAAAAAEAIAAAACIAAABkcnMvZG93bnJldi54bWxQSwECFAAUAAAACACH&#10;TuJAuMVltLIBAABcAwAADgAAAAAAAAABACAAAAAnAQAAZHJzL2Uyb0RvYy54bWxQSwUGAAAAAAYA&#10;BgBZAQAASwUAAAAA&#10;">
                <v:fill on="f" focussize="0,0"/>
                <v:stroke on="f"/>
                <v:imagedata o:title=""/>
                <o:lock v:ext="edit" aspectratio="f"/>
                <v:textbox>
                  <w:txbxContent>
                    <w:p w14:paraId="0E4622F0">
                      <w:pPr>
                        <w:jc w:val="center"/>
                        <w:rPr>
                          <w:rFonts w:hint="eastAsia" w:ascii="仿宋" w:hAnsi="仿宋" w:eastAsia="仿宋" w:cs="仿宋"/>
                          <w:sz w:val="34"/>
                          <w:szCs w:val="34"/>
                        </w:rPr>
                      </w:pPr>
                      <w:r>
                        <w:rPr>
                          <w:rFonts w:hint="eastAsia" w:ascii="Times New Roman" w:hAnsi="仿宋_GB2312" w:eastAsia="宋体" w:cs="仿宋_GB2312"/>
                          <w:sz w:val="24"/>
                        </w:rPr>
                        <w:t xml:space="preserve"> </w:t>
                      </w: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4732DDCF">
                      <w:pPr>
                        <w:jc w:val="center"/>
                        <w:rPr>
                          <w:rFonts w:hint="eastAsia" w:ascii="仿宋_GB2312" w:hAnsi="仿宋" w:eastAsia="仿宋_GB2312" w:cs="Times New Roman"/>
                          <w:spacing w:val="40"/>
                          <w:sz w:val="34"/>
                          <w:szCs w:val="34"/>
                        </w:rPr>
                      </w:pPr>
                    </w:p>
                  </w:txbxContent>
                </v:textbox>
              </v:shape>
            </w:pict>
          </mc:Fallback>
        </mc:AlternateContent>
      </w:r>
      <w:r>
        <w:rPr>
          <w:rFonts w:hint="eastAsia" w:ascii="宋体" w:hAnsi="宋体" w:eastAsia="宋体" w:cs="Times New Roman"/>
          <w:b/>
          <w:color w:val="FF0000"/>
          <w:spacing w:val="40"/>
          <w:w w:val="80"/>
          <w:sz w:val="74"/>
          <w:szCs w:val="74"/>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182245</wp:posOffset>
                </wp:positionV>
                <wp:extent cx="5506085"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06085" cy="9525"/>
                        </a:xfrm>
                        <a:prstGeom prst="straightConnector1">
                          <a:avLst/>
                        </a:prstGeom>
                        <a:ln w="127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7.7pt;margin-top:14.35pt;height:0.75pt;width:433.55pt;z-index:251659264;mso-width-relative:page;mso-height-relative:page;" filled="f" stroked="t" coordsize="21600,21600" o:gfxdata="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ciC0jUAAAACAEAAA8AAAAAAAAAAQAgAAAAIgAAAGRycy9k&#10;b3ducmV2LnhtbFBLAQIUABQAAAAIAIdO4kBubBZKBgIAAPoDAAAOAAAAAAAAAAEAIAAAACMBAABk&#10;cnMvZTJvRG9jLnhtbFBLBQYAAAAABgAGAFkBAACbBQAAAAA=&#10;">
                <v:fill on="f" focussize="0,0"/>
                <v:stroke weight="1pt" color="#FF0000" joinstyle="round"/>
                <v:imagedata o:title=""/>
                <o:lock v:ext="edit" aspectratio="f"/>
              </v:shape>
            </w:pict>
          </mc:Fallback>
        </mc:AlternateContent>
      </w:r>
    </w:p>
    <w:p w14:paraId="6AAC33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C12C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eastAsia="方正小标宋简体"/>
          <w:sz w:val="44"/>
          <w:szCs w:val="44"/>
        </w:rPr>
        <w:t>司法信用积分体系</w:t>
      </w:r>
      <w:r>
        <w:rPr>
          <w:rFonts w:hint="eastAsia" w:ascii="方正小标宋简体" w:eastAsia="方正小标宋简体"/>
          <w:sz w:val="44"/>
          <w:szCs w:val="44"/>
          <w:lang w:eastAsia="zh-CN"/>
        </w:rPr>
        <w:t>实施</w:t>
      </w:r>
      <w:r>
        <w:rPr>
          <w:rFonts w:hint="eastAsia" w:ascii="方正小标宋简体" w:eastAsia="方正小标宋简体"/>
          <w:sz w:val="44"/>
          <w:szCs w:val="44"/>
        </w:rPr>
        <w:t>方案</w:t>
      </w:r>
      <w:r>
        <w:rPr>
          <w:rFonts w:hint="eastAsia" w:ascii="方正小标宋简体" w:hAnsi="方正小标宋简体" w:eastAsia="方正小标宋简体" w:cs="方正小标宋简体"/>
          <w:sz w:val="44"/>
          <w:szCs w:val="44"/>
          <w:lang w:eastAsia="zh-CN"/>
        </w:rPr>
        <w:t>》</w:t>
      </w:r>
    </w:p>
    <w:p w14:paraId="057CFC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eastAsia="zh-CN"/>
        </w:rPr>
      </w:pPr>
      <w:r>
        <w:rPr>
          <w:rFonts w:hint="eastAsia" w:ascii="方正小标宋简体" w:hAnsi="方正小标宋简体" w:eastAsia="方正小标宋简体" w:cs="方正小标宋简体"/>
          <w:sz w:val="44"/>
          <w:szCs w:val="44"/>
          <w:lang w:eastAsia="zh-CN"/>
        </w:rPr>
        <w:t>的通知</w:t>
      </w:r>
    </w:p>
    <w:p w14:paraId="09EBE1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eastAsia="zh-CN"/>
        </w:rPr>
      </w:pPr>
    </w:p>
    <w:p w14:paraId="1B3F27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i w:val="0"/>
          <w:caps w:val="0"/>
          <w:spacing w:val="0"/>
          <w:sz w:val="32"/>
          <w:szCs w:val="32"/>
          <w:shd w:val="clear" w:color="auto" w:fill="FFFFFF"/>
          <w:vertAlign w:val="baseline"/>
          <w:lang w:eastAsia="zh-CN"/>
        </w:rPr>
      </w:pPr>
      <w:r>
        <w:rPr>
          <w:rFonts w:hint="eastAsia" w:ascii="仿宋_GB2312" w:hAnsi="仿宋_GB2312" w:eastAsia="仿宋_GB2312" w:cs="仿宋_GB2312"/>
          <w:b w:val="0"/>
          <w:bCs/>
          <w:i w:val="0"/>
          <w:caps w:val="0"/>
          <w:spacing w:val="0"/>
          <w:sz w:val="32"/>
          <w:szCs w:val="32"/>
          <w:shd w:val="clear" w:color="auto" w:fill="FFFFFF"/>
          <w:vertAlign w:val="baseline"/>
          <w:lang w:eastAsia="zh-CN"/>
        </w:rPr>
        <w:t>各基层法院、各县（市）区发改委、各县（市）区市场监督管理局、各县（市）区财政局、各县（市）区公共资源交易中心：</w:t>
      </w:r>
    </w:p>
    <w:p w14:paraId="1438A41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color w:val="000000"/>
          <w:kern w:val="0"/>
          <w:sz w:val="32"/>
          <w:szCs w:val="32"/>
          <w:shd w:val="clear" w:color="auto" w:fill="FFFFFF"/>
          <w:lang w:val="en-US" w:eastAsia="zh-CN"/>
        </w:rPr>
        <w:t>对守信企业给予激励，对失信企业进行惩戒，引导企业诚实守信、依法经营，推动形成公平竞争、规范有序的市场环境，为优化营商环境提供有力司法保障</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sz w:val="32"/>
          <w:szCs w:val="32"/>
          <w:lang w:val="en-US" w:eastAsia="zh-CN"/>
        </w:rPr>
        <w:t>现将《司法信用积分体系实施方案》印发给你们，请参照执行。</w:t>
      </w:r>
    </w:p>
    <w:p w14:paraId="111BF2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E8280D6">
      <w:pPr>
        <w:keepNext w:val="0"/>
        <w:keepLines w:val="0"/>
        <w:pageBreakBefore w:val="0"/>
        <w:widowControl w:val="0"/>
        <w:tabs>
          <w:tab w:val="left" w:pos="5182"/>
        </w:tabs>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p>
    <w:p w14:paraId="49FB20D5">
      <w:pPr>
        <w:keepNext w:val="0"/>
        <w:keepLines w:val="0"/>
        <w:pageBreakBefore w:val="0"/>
        <w:widowControl w:val="0"/>
        <w:tabs>
          <w:tab w:val="left" w:pos="5182"/>
        </w:tabs>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伊春市中级人民法院             伊春市发展和改革委员会</w:t>
      </w:r>
    </w:p>
    <w:p w14:paraId="1C53519A">
      <w:pPr>
        <w:pStyle w:val="2"/>
        <w:rPr>
          <w:rFonts w:hint="eastAsia"/>
          <w:lang w:val="en-US" w:eastAsia="zh-CN"/>
        </w:rPr>
      </w:pPr>
    </w:p>
    <w:p w14:paraId="6EB701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0FE83CF">
      <w:pPr>
        <w:pStyle w:val="2"/>
        <w:rPr>
          <w:rFonts w:hint="eastAsia" w:ascii="仿宋_GB2312" w:hAnsi="仿宋_GB2312" w:eastAsia="仿宋_GB2312" w:cs="仿宋_GB2312"/>
          <w:sz w:val="32"/>
          <w:szCs w:val="32"/>
          <w:lang w:val="en-US" w:eastAsia="zh-CN"/>
        </w:rPr>
      </w:pPr>
    </w:p>
    <w:p w14:paraId="250EAB9D">
      <w:pPr>
        <w:pStyle w:val="3"/>
        <w:ind w:firstLine="320" w:firstLineChars="100"/>
        <w:rPr>
          <w:rFonts w:hint="eastAsia"/>
          <w:lang w:val="en-US" w:eastAsia="zh-CN"/>
        </w:rPr>
      </w:pPr>
      <w:r>
        <w:rPr>
          <w:rFonts w:hint="eastAsia"/>
          <w:lang w:val="en-US" w:eastAsia="zh-CN"/>
        </w:rPr>
        <w:t>伊春市市场监督管理局           伊春市财政局</w:t>
      </w:r>
    </w:p>
    <w:p w14:paraId="264718AD">
      <w:pPr>
        <w:pStyle w:val="3"/>
        <w:ind w:firstLine="320" w:firstLineChars="100"/>
        <w:rPr>
          <w:rFonts w:hint="eastAsia"/>
          <w:lang w:val="en-US" w:eastAsia="zh-CN"/>
        </w:rPr>
      </w:pPr>
    </w:p>
    <w:p w14:paraId="3FA3EA37">
      <w:pPr>
        <w:pStyle w:val="3"/>
        <w:ind w:firstLine="320" w:firstLineChars="100"/>
        <w:rPr>
          <w:rFonts w:hint="eastAsia"/>
          <w:lang w:val="en-US" w:eastAsia="zh-CN"/>
        </w:rPr>
      </w:pPr>
    </w:p>
    <w:p w14:paraId="1B7095B7">
      <w:pPr>
        <w:pStyle w:val="3"/>
        <w:ind w:firstLine="320" w:firstLineChars="100"/>
        <w:rPr>
          <w:rFonts w:hint="default"/>
          <w:lang w:val="en-US" w:eastAsia="zh-CN"/>
        </w:rPr>
      </w:pPr>
      <w:r>
        <w:rPr>
          <w:rFonts w:hint="eastAsia"/>
          <w:lang w:val="en-US" w:eastAsia="zh-CN"/>
        </w:rPr>
        <w:t>伊春市公共资源交易中心</w:t>
      </w:r>
    </w:p>
    <w:p w14:paraId="498163A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p>
    <w:p w14:paraId="73EC4DFE">
      <w:pPr>
        <w:pStyle w:val="2"/>
        <w:rPr>
          <w:rFonts w:hint="eastAsia"/>
          <w:lang w:val="en-US" w:eastAsia="zh-CN"/>
        </w:rPr>
      </w:pPr>
    </w:p>
    <w:p w14:paraId="0F6314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72FBE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2025年6月5日</w:t>
      </w:r>
    </w:p>
    <w:p w14:paraId="33567223">
      <w:pPr>
        <w:jc w:val="center"/>
        <w:rPr>
          <w:rFonts w:hint="eastAsia" w:ascii="方正小标宋简体" w:eastAsia="方正小标宋简体"/>
          <w:sz w:val="44"/>
          <w:szCs w:val="44"/>
        </w:rPr>
      </w:pPr>
    </w:p>
    <w:p w14:paraId="7B6691C5">
      <w:pPr>
        <w:jc w:val="center"/>
        <w:rPr>
          <w:rFonts w:hint="eastAsia" w:ascii="方正小标宋简体" w:eastAsia="方正小标宋简体"/>
          <w:sz w:val="44"/>
          <w:szCs w:val="44"/>
        </w:rPr>
      </w:pPr>
    </w:p>
    <w:p w14:paraId="730DB030">
      <w:pPr>
        <w:jc w:val="center"/>
        <w:rPr>
          <w:rFonts w:hint="eastAsia" w:ascii="方正小标宋简体" w:eastAsia="方正小标宋简体"/>
          <w:sz w:val="44"/>
          <w:szCs w:val="44"/>
        </w:rPr>
      </w:pPr>
    </w:p>
    <w:p w14:paraId="38D311D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司法信用积分体系</w:t>
      </w:r>
      <w:r>
        <w:rPr>
          <w:rFonts w:hint="eastAsia" w:ascii="方正小标宋简体" w:eastAsia="方正小标宋简体"/>
          <w:sz w:val="44"/>
          <w:szCs w:val="44"/>
          <w:lang w:eastAsia="zh-CN"/>
        </w:rPr>
        <w:t>实施</w:t>
      </w:r>
      <w:r>
        <w:rPr>
          <w:rFonts w:hint="eastAsia" w:ascii="方正小标宋简体" w:eastAsia="方正小标宋简体"/>
          <w:sz w:val="44"/>
          <w:szCs w:val="44"/>
        </w:rPr>
        <w:t>方案</w:t>
      </w:r>
      <w:bookmarkStart w:id="0" w:name="_GoBack"/>
      <w:bookmarkEnd w:id="0"/>
    </w:p>
    <w:p w14:paraId="65CD79A7">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sz w:val="32"/>
          <w:szCs w:val="32"/>
        </w:rPr>
        <w:t xml:space="preserve"> </w:t>
      </w:r>
    </w:p>
    <w:p w14:paraId="5147F8F8">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为深入贯彻省、市关于优化营商环境的决策部署，全面落实最高人民法院关于为优化营商环境提供司法服务和保障的工作要求，</w:t>
      </w:r>
      <w:r>
        <w:rPr>
          <w:rFonts w:hint="eastAsia" w:ascii="仿宋_GB2312" w:hAnsi="仿宋_GB2312" w:eastAsia="仿宋_GB2312" w:cs="仿宋_GB2312"/>
          <w:color w:val="000000"/>
          <w:kern w:val="0"/>
          <w:sz w:val="32"/>
          <w:szCs w:val="32"/>
          <w:shd w:val="clear" w:color="auto" w:fill="FFFFFF"/>
          <w:lang w:val="en-US" w:eastAsia="zh-CN"/>
        </w:rPr>
        <w:t>伊春市中级人民</w:t>
      </w:r>
      <w:r>
        <w:rPr>
          <w:rFonts w:hint="default" w:ascii="仿宋_GB2312" w:hAnsi="仿宋_GB2312" w:eastAsia="仿宋_GB2312" w:cs="仿宋_GB2312"/>
          <w:color w:val="000000"/>
          <w:kern w:val="0"/>
          <w:sz w:val="32"/>
          <w:szCs w:val="32"/>
          <w:shd w:val="clear" w:color="auto" w:fill="FFFFFF"/>
          <w:lang w:val="en-US" w:eastAsia="zh-CN"/>
        </w:rPr>
        <w:t>法院立足审判执行职能，积极探索创新，决定与相关部门共建信用积分体系，以司法信用赋能营商环境优化，现结合本院工作实际，制定本工作方案。</w:t>
      </w:r>
    </w:p>
    <w:p w14:paraId="1A9EF57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总体目标</w:t>
      </w:r>
    </w:p>
    <w:p w14:paraId="338E415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通过创新共建信用积分体系，将司法信用与企业的经营活动、市场准入、融资信贷等紧密结合，对守信企业给予激励，对失信企业进行惩戒，引导企业诚实守信、依法经营，推动形成公平竞争、规范有序的市场环境，为优化营商环境提供有力司法保障。构建一套科学规范、运行高效、应用广泛的企业司法信用积分体系，实现司法信用的精准画像和动态评价；推动司法信用信息在金融、招投标、政务服务等关键领域的共享共用；显著提升企业主动履行生效裁判、诚信参与诉讼的自觉性，形成“守信受益、失信受限”的良性循环。</w:t>
      </w:r>
    </w:p>
    <w:p w14:paraId="2AA5EAC1">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工作原则</w:t>
      </w:r>
    </w:p>
    <w:p w14:paraId="66489DC9">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依法依规原则。</w:t>
      </w:r>
      <w:r>
        <w:rPr>
          <w:rFonts w:hint="default" w:ascii="仿宋_GB2312" w:hAnsi="仿宋_GB2312" w:eastAsia="仿宋_GB2312" w:cs="仿宋_GB2312"/>
          <w:color w:val="000000"/>
          <w:kern w:val="0"/>
          <w:sz w:val="32"/>
          <w:szCs w:val="32"/>
          <w:shd w:val="clear" w:color="auto" w:fill="FFFFFF"/>
          <w:lang w:val="en-US" w:eastAsia="zh-CN"/>
        </w:rPr>
        <w:t>严格遵循法律法规和相关政策规定，确保信用积分体系的建设、运行和应用合法合规，保障企业的合法权益。</w:t>
      </w:r>
    </w:p>
    <w:p w14:paraId="626DF946">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客观公正原则。</w:t>
      </w:r>
      <w:r>
        <w:rPr>
          <w:rFonts w:hint="default" w:ascii="仿宋_GB2312" w:hAnsi="仿宋_GB2312" w:eastAsia="仿宋_GB2312" w:cs="仿宋_GB2312"/>
          <w:color w:val="000000"/>
          <w:kern w:val="0"/>
          <w:sz w:val="32"/>
          <w:szCs w:val="32"/>
          <w:shd w:val="clear" w:color="auto" w:fill="FFFFFF"/>
          <w:lang w:val="en-US" w:eastAsia="zh-CN"/>
        </w:rPr>
        <w:t>以客观事实为依据，全面、准确地采集和记录企业的司法信用信息，建立复核机制，公正评定信用积分和等级，确保评价客观公正。</w:t>
      </w:r>
    </w:p>
    <w:p w14:paraId="1CE42F1D">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激励惩戒并重原则。</w:t>
      </w:r>
      <w:r>
        <w:rPr>
          <w:rFonts w:hint="default" w:ascii="仿宋_GB2312" w:hAnsi="仿宋_GB2312" w:eastAsia="仿宋_GB2312" w:cs="仿宋_GB2312"/>
          <w:color w:val="000000"/>
          <w:kern w:val="0"/>
          <w:sz w:val="32"/>
          <w:szCs w:val="32"/>
          <w:shd w:val="clear" w:color="auto" w:fill="FFFFFF"/>
          <w:lang w:val="en-US" w:eastAsia="zh-CN"/>
        </w:rPr>
        <w:t>建立健全激励与惩戒机制，对守信企业给予多方面的便利和优惠，对失信企业依法实施严格的限制和约束，形成鲜明导向。</w:t>
      </w:r>
    </w:p>
    <w:p w14:paraId="28AC0DA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（四）协同共建原则。</w:t>
      </w:r>
      <w:r>
        <w:rPr>
          <w:rFonts w:hint="default" w:ascii="仿宋_GB2312" w:hAnsi="仿宋_GB2312" w:eastAsia="仿宋_GB2312" w:cs="仿宋_GB2312"/>
          <w:color w:val="000000"/>
          <w:kern w:val="0"/>
          <w:sz w:val="32"/>
          <w:szCs w:val="32"/>
          <w:shd w:val="clear" w:color="auto" w:fill="FFFFFF"/>
          <w:lang w:val="en-US" w:eastAsia="zh-CN"/>
        </w:rPr>
        <w:t>加强与政府部门、金融机构、行业协会等的沟通协作，建立协同共建机制，实现信息共享、资源整合、优势互补，共同推进信用积分体系建设和应用。</w:t>
      </w:r>
    </w:p>
    <w:p w14:paraId="6B3AC405">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三、信用积分体系的构建</w:t>
      </w:r>
    </w:p>
    <w:p w14:paraId="54E28C3C">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（一）信用信息采集</w:t>
      </w:r>
    </w:p>
    <w:p w14:paraId="6F4C97AD">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采集范围：包括但不限于企业在本院涉诉案件的立案、审判、执行等各个环节的信息，如案件类型、立案时间、结案方式、履行情况、是否存在虚假诉讼、恶意诉讼、妨碍诉讼秩序等行为。同时，积极与相关部门对接，探索采集企业在市场监管、税务等领域的信用信息。</w:t>
      </w:r>
    </w:p>
    <w:p w14:paraId="096F7019">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采集方式：依托法院信息化平台，建立信用信息采集系统，实现对司法信用信息的自动采集、实时更新和智能分析。对于其他部门提供的信用信息，通过数据共享平台进行交换和接收。</w:t>
      </w:r>
    </w:p>
    <w:p w14:paraId="2D19D008">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（二）信用积分评定</w:t>
      </w:r>
    </w:p>
    <w:p w14:paraId="067FCBF9">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评定指标：制定科学合理的信用积分评定指标体系（详见附件《企业司法信用积分管理细则》），设立涵盖10项正向指标（如主动履行判决、积极参与诉前调解、如实提交诉讼材料等）和6项负向指标（如拒不履行义务、滥用诉权、妨碍诉讼秩序等）的动态评价体系。</w:t>
      </w:r>
    </w:p>
    <w:p w14:paraId="7BA68E11">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评定方法：采用量化评分的方式，根据评定指标对企业的信用信息进行打分，确定企业的信用积分。信用积分实行动态管理，定期更新。</w:t>
      </w:r>
    </w:p>
    <w:p w14:paraId="21CCC006">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信用等级划分：根据信用积分的高低，将企业划分为A（优秀）、B（良好）、C（一般）、D（较差）四个信用等级，对应不同的激励和惩戒措施。</w:t>
      </w:r>
    </w:p>
    <w:p w14:paraId="334E4012">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建立三色预警与复核机制：通过信息化平台，以“绿（守信）、黄（一般失信）、红（严重失信）”三色直观展示企业信用状态。设立积分复核程序，企业可通过诉讼服务中心提交异议申请，由专门小组进行复核。</w:t>
      </w:r>
    </w:p>
    <w:p w14:paraId="514471A5">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四、信用积分的应用</w:t>
      </w:r>
    </w:p>
    <w:p w14:paraId="0FD69F92">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（一）司法领域应用</w:t>
      </w:r>
    </w:p>
    <w:p w14:paraId="3280ADF8">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对信用等级高（A级）的企业，在立案、审判、执行等环节提供绿色通道，优先办理，简化流程，缩短时间。在执行中，优先采取“活封活扣”等灵活执行措施，减少对企业经营的影响。</w:t>
      </w:r>
    </w:p>
    <w:p w14:paraId="3C13A065">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对失信企业（C、D级），则依法采取严格的执行措施，加大执行力度。</w:t>
      </w:r>
    </w:p>
    <w:p w14:paraId="516C9D66">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市场准入与监管领域应用</w:t>
      </w:r>
    </w:p>
    <w:p w14:paraId="22981AF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将信用积分和等级信息共享给市场监管、行政审批、公共资源交易中心等部门。在招投标领域，积分高的企业可在政府采购、工程招标中获得2-3分的评标加分。在政务服务方面，积分优异的企业可优先享受政策补贴申报、项目审批提速等便利。</w:t>
      </w:r>
    </w:p>
    <w:p w14:paraId="4879AB9E">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金融信贷领域应用</w:t>
      </w:r>
    </w:p>
    <w:p w14:paraId="44C589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与域内金融机构建立“司法信用+普惠金融”合作机制。信用积分达A级以上的企业，可享受利率优惠、贷款审批绿色通道等信贷支持。引导金融资源向守信企业倾斜。</w:t>
      </w:r>
    </w:p>
    <w:p w14:paraId="3EA10520">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（四）行业自律与社会评价领域应用</w:t>
      </w:r>
    </w:p>
    <w:p w14:paraId="09979615">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将信用信息通报给行业协会，鼓励其对守信企业进行表彰（如颁发“诚信示范企业”证书），对失信企业进行警示。通过政务大厅“信用积分红榜”、媒体宣传等方式，对守信企业进行表彰宣传；对积分较低的企业，联合行业主管部门开展约谈，并提供“信用修复”指导。</w:t>
      </w:r>
    </w:p>
    <w:p w14:paraId="76D14115">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五、工作步骤</w:t>
      </w:r>
    </w:p>
    <w:p w14:paraId="35244FF0">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（一）成立工作领导小组，明确职责分工。加强与市场监管局、</w:t>
      </w:r>
      <w:r>
        <w:rPr>
          <w:rFonts w:hint="eastAsia" w:ascii="仿宋_GB2312" w:hAnsi="仿宋_GB2312" w:eastAsia="仿宋_GB2312" w:cs="仿宋_GB2312"/>
          <w:color w:val="000000"/>
          <w:kern w:val="0"/>
          <w:sz w:val="32"/>
          <w:szCs w:val="32"/>
          <w:shd w:val="clear" w:color="auto" w:fill="FFFFFF"/>
          <w:lang w:val="en-US" w:eastAsia="zh-CN"/>
        </w:rPr>
        <w:t>财政局</w:t>
      </w:r>
      <w:r>
        <w:rPr>
          <w:rFonts w:hint="default" w:ascii="仿宋_GB2312" w:hAnsi="仿宋_GB2312" w:eastAsia="仿宋_GB2312" w:cs="仿宋_GB2312"/>
          <w:color w:val="000000"/>
          <w:kern w:val="0"/>
          <w:sz w:val="32"/>
          <w:szCs w:val="32"/>
          <w:shd w:val="clear" w:color="auto" w:fill="FFFFFF"/>
          <w:lang w:val="en-US" w:eastAsia="zh-CN"/>
        </w:rPr>
        <w:t>、发改委、公共资源交易中心等部门的沟通协调，签订《司法信用信息共享合作协议》，完成涉企信息采集工作的初步对接与平台测试。</w:t>
      </w:r>
    </w:p>
    <w:p w14:paraId="4E00E8B7">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（二）全面开展积分评定和等级划分工作。逐步在司法、金融、招投标、政务等领域应用信用积分，建立相关工作机制和流程。定期对运行情况进行评估，及时调整完善。</w:t>
      </w:r>
    </w:p>
    <w:p w14:paraId="7AA76BD1">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default" w:ascii="仿宋_GB2312" w:hAnsi="仿宋_GB2312" w:eastAsia="仿宋_GB2312" w:cs="仿宋_GB2312"/>
          <w:color w:val="000000"/>
          <w:kern w:val="0"/>
          <w:sz w:val="32"/>
          <w:szCs w:val="32"/>
          <w:shd w:val="clear" w:color="auto" w:fill="FFFFFF"/>
          <w:lang w:val="en-US" w:eastAsia="zh-CN"/>
        </w:rPr>
        <w:t>（三）对工作进行全面总结，梳理成果和经验，形成可复制、可推广的模式。组织召开经验交流会，持续完善信用积分体系，拓展应用领域。</w:t>
      </w:r>
    </w:p>
    <w:p w14:paraId="4AF001CE">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六、工作保障</w:t>
      </w:r>
    </w:p>
    <w:p w14:paraId="3573BEDC">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（一）加强组织领导。</w:t>
      </w:r>
      <w:r>
        <w:rPr>
          <w:rFonts w:hint="default" w:ascii="仿宋_GB2312" w:hAnsi="仿宋_GB2312" w:eastAsia="仿宋_GB2312" w:cs="仿宋_GB2312"/>
          <w:color w:val="000000"/>
          <w:kern w:val="0"/>
          <w:sz w:val="32"/>
          <w:szCs w:val="32"/>
          <w:shd w:val="clear" w:color="auto" w:fill="FFFFFF"/>
          <w:lang w:val="en-US" w:eastAsia="zh-CN"/>
        </w:rPr>
        <w:t>充分认识此项工作的重要意义，将其纳入重要议事日程，定期研究解决工作中遇到的问题。</w:t>
      </w:r>
    </w:p>
    <w:p w14:paraId="35E395B3">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（二）强化部门协作。</w:t>
      </w:r>
      <w:r>
        <w:rPr>
          <w:rFonts w:hint="default" w:ascii="仿宋_GB2312" w:hAnsi="仿宋_GB2312" w:eastAsia="仿宋_GB2312" w:cs="仿宋_GB2312"/>
          <w:color w:val="000000"/>
          <w:kern w:val="0"/>
          <w:sz w:val="32"/>
          <w:szCs w:val="32"/>
          <w:shd w:val="clear" w:color="auto" w:fill="FFFFFF"/>
          <w:lang w:val="en-US" w:eastAsia="zh-CN"/>
        </w:rPr>
        <w:t>各相关部门树立大局意识，加强沟通协调，建立健全信息共享、联合惩戒、协同监管等工作机制。</w:t>
      </w:r>
    </w:p>
    <w:p w14:paraId="15650F8D">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（三）加大宣传力度。</w:t>
      </w:r>
      <w:r>
        <w:rPr>
          <w:rFonts w:hint="default" w:ascii="仿宋_GB2312" w:hAnsi="仿宋_GB2312" w:eastAsia="仿宋_GB2312" w:cs="仿宋_GB2312"/>
          <w:color w:val="000000"/>
          <w:kern w:val="0"/>
          <w:sz w:val="32"/>
          <w:szCs w:val="32"/>
          <w:shd w:val="clear" w:color="auto" w:fill="FFFFFF"/>
          <w:lang w:val="en-US" w:eastAsia="zh-CN"/>
        </w:rPr>
        <w:t>充分利用各类平台，广泛宣传信用积分体系建设的目的、意义和工作成效，营造诚实守信的社会氛围。</w:t>
      </w:r>
    </w:p>
    <w:p w14:paraId="158C0844">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en-US" w:eastAsia="zh-CN"/>
        </w:rPr>
        <w:t>（四）严格监督考核。</w:t>
      </w:r>
      <w:r>
        <w:rPr>
          <w:rFonts w:hint="default" w:ascii="仿宋_GB2312" w:hAnsi="仿宋_GB2312" w:eastAsia="仿宋_GB2312" w:cs="仿宋_GB2312"/>
          <w:color w:val="000000"/>
          <w:kern w:val="0"/>
          <w:sz w:val="32"/>
          <w:szCs w:val="32"/>
          <w:shd w:val="clear" w:color="auto" w:fill="FFFFFF"/>
          <w:lang w:val="en-US" w:eastAsia="zh-CN"/>
        </w:rPr>
        <w:t>建立健全监督考核机制，对工作进展情况和工作成效进行监督检查，对成效显著的进行表彰奖励，对工作不力的进行问责。</w:t>
      </w:r>
    </w:p>
    <w:p w14:paraId="0502DCD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rPr>
      </w:pPr>
    </w:p>
    <w:p w14:paraId="04E6C412">
      <w:pPr>
        <w:pStyle w:val="2"/>
        <w:rPr>
          <w:rFonts w:hint="default" w:ascii="仿宋_GB2312" w:hAnsi="仿宋_GB2312" w:eastAsia="仿宋_GB2312" w:cs="仿宋_GB2312"/>
          <w:color w:val="000000"/>
          <w:kern w:val="0"/>
          <w:sz w:val="32"/>
          <w:szCs w:val="32"/>
          <w:shd w:val="clear" w:color="auto" w:fill="FFFFFF"/>
          <w:lang w:val="en-US" w:eastAsia="zh-CN"/>
        </w:rPr>
      </w:pPr>
    </w:p>
    <w:p w14:paraId="4CA9E805">
      <w:pPr>
        <w:pStyle w:val="3"/>
        <w:rPr>
          <w:rFonts w:hint="default" w:ascii="仿宋_GB2312" w:hAnsi="仿宋_GB2312" w:eastAsia="仿宋_GB2312" w:cs="仿宋_GB2312"/>
          <w:color w:val="000000"/>
          <w:kern w:val="0"/>
          <w:sz w:val="32"/>
          <w:szCs w:val="32"/>
          <w:shd w:val="clear" w:color="auto" w:fill="FFFFFF"/>
          <w:lang w:val="en-US" w:eastAsia="zh-CN"/>
        </w:rPr>
      </w:pPr>
    </w:p>
    <w:p w14:paraId="774A649F">
      <w:pPr>
        <w:pStyle w:val="3"/>
        <w:rPr>
          <w:rFonts w:hint="default" w:ascii="仿宋_GB2312" w:hAnsi="仿宋_GB2312" w:eastAsia="仿宋_GB2312" w:cs="仿宋_GB2312"/>
          <w:color w:val="000000"/>
          <w:kern w:val="0"/>
          <w:sz w:val="32"/>
          <w:szCs w:val="32"/>
          <w:shd w:val="clear" w:color="auto" w:fill="FFFFFF"/>
          <w:lang w:val="en-US" w:eastAsia="zh-CN"/>
        </w:rPr>
      </w:pPr>
    </w:p>
    <w:p w14:paraId="66F0728B">
      <w:pPr>
        <w:pStyle w:val="3"/>
        <w:rPr>
          <w:rFonts w:hint="default" w:ascii="仿宋_GB2312" w:hAnsi="仿宋_GB2312" w:eastAsia="仿宋_GB2312" w:cs="仿宋_GB2312"/>
          <w:color w:val="000000"/>
          <w:kern w:val="0"/>
          <w:sz w:val="32"/>
          <w:szCs w:val="32"/>
          <w:shd w:val="clear" w:color="auto" w:fill="FFFFFF"/>
          <w:lang w:val="en-US" w:eastAsia="zh-CN"/>
        </w:rPr>
      </w:pPr>
    </w:p>
    <w:p w14:paraId="79F8BF4A">
      <w:pPr>
        <w:pStyle w:val="3"/>
        <w:rPr>
          <w:rFonts w:hint="eastAsia" w:ascii="仿宋_GB2312" w:hAnsi="仿宋_GB2312" w:eastAsia="仿宋_GB2312" w:cs="仿宋_GB2312"/>
          <w:sz w:val="32"/>
          <w:szCs w:val="32"/>
        </w:rPr>
      </w:pPr>
    </w:p>
    <w:p w14:paraId="314FD30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278130</wp:posOffset>
                </wp:positionV>
                <wp:extent cx="5570855" cy="571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70855" cy="57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1.9pt;height:0.45pt;width:438.65pt;z-index:251662336;mso-width-relative:page;mso-height-relative:page;" filled="f" stroked="t" coordsize="21600,21600" o:gfxdata="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SvJnXAAAABwEAAA8AAAAAAAAAAQAgAAAAIgAAAGRycy9k&#10;b3ducmV2LnhtbFBLAQIUABQAAAAIAIdO4kC8ixJjAwIAAP0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 xml:space="preserve">                       </w:t>
      </w:r>
    </w:p>
    <w:p w14:paraId="0A39D224">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374650</wp:posOffset>
                </wp:positionV>
                <wp:extent cx="5551170" cy="698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51170" cy="69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9.5pt;height:0.55pt;width:437.1pt;z-index:251663360;mso-width-relative:page;mso-height-relative:page;" filled="f" stroked="t" coordsize="21600,21600" o:gfxdata="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eaWPXAAAABwEAAA8AAAAAAAAAAQAgAAAAIgAAAGRy&#10;cy9kb3ducmV2LnhtbFBLAQIUABQAAAAIAIdO4kDug3e7BgIAAP0DAAAOAAAAAAAAAAEAIAAAACYB&#10;AABkcnMvZTJvRG9jLnhtbFBLBQYAAAAABgAGAFkBAACe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lang w:eastAsia="zh-CN"/>
        </w:rPr>
        <w:t>伊春市中级</w:t>
      </w:r>
      <w:r>
        <w:rPr>
          <w:rFonts w:hint="eastAsia" w:ascii="仿宋_GB2312" w:hAnsi="仿宋_GB2312" w:eastAsia="仿宋_GB2312" w:cs="仿宋_GB2312"/>
          <w:sz w:val="32"/>
          <w:szCs w:val="32"/>
        </w:rPr>
        <w:t>人民法院</w:t>
      </w:r>
      <w:r>
        <w:rPr>
          <w:rFonts w:hint="eastAsia" w:ascii="仿宋_GB2312" w:hAnsi="仿宋_GB2312" w:eastAsia="仿宋_GB2312" w:cs="仿宋_GB2312"/>
          <w:sz w:val="32"/>
          <w:szCs w:val="32"/>
          <w:lang w:val="en-US" w:eastAsia="zh-CN"/>
        </w:rPr>
        <w:t xml:space="preserve">办公室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5日</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037BD-40BF-4334-9EB0-E360D02C75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0084DB-3C92-442F-8F94-8E45C4838503}"/>
  </w:font>
  <w:font w:name="创艺简老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9A7D132E-4A10-41BE-AFB9-10D1EA204DE8}"/>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4" w:fontKey="{881FD7BB-9F66-43A1-A3D8-254CCC8BBEB5}"/>
  </w:font>
  <w:font w:name="楷体_GB2312">
    <w:panose1 w:val="02010609030101010101"/>
    <w:charset w:val="86"/>
    <w:family w:val="auto"/>
    <w:pitch w:val="default"/>
    <w:sig w:usb0="00000001" w:usb1="080E0000" w:usb2="00000000" w:usb3="00000000" w:csb0="00040000" w:csb1="00000000"/>
    <w:embedRegular r:id="rId5" w:fontKey="{262769FC-9A93-42FF-A9A7-9C6B0FF434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B427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10A33">
                          <w:pPr>
                            <w:pStyle w:val="4"/>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C10A33">
                    <w:pPr>
                      <w:pStyle w:val="4"/>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1E7"/>
    <w:multiLevelType w:val="singleLevel"/>
    <w:tmpl w:val="E8F681E7"/>
    <w:lvl w:ilvl="0" w:tentative="0">
      <w:start w:val="1"/>
      <w:numFmt w:val="chineseCounting"/>
      <w:suff w:val="nothing"/>
      <w:lvlText w:val="%1、"/>
      <w:lvlJc w:val="left"/>
      <w:rPr>
        <w:rFonts w:hint="eastAsia"/>
      </w:rPr>
    </w:lvl>
  </w:abstractNum>
  <w:abstractNum w:abstractNumId="1">
    <w:nsid w:val="06B07964"/>
    <w:multiLevelType w:val="singleLevel"/>
    <w:tmpl w:val="06B07964"/>
    <w:lvl w:ilvl="0" w:tentative="0">
      <w:start w:val="1"/>
      <w:numFmt w:val="chineseCounting"/>
      <w:suff w:val="nothing"/>
      <w:lvlText w:val="（%1）"/>
      <w:lvlJc w:val="left"/>
      <w:rPr>
        <w:rFonts w:hint="eastAsia"/>
      </w:rPr>
    </w:lvl>
  </w:abstractNum>
  <w:abstractNum w:abstractNumId="2">
    <w:nsid w:val="4802455C"/>
    <w:multiLevelType w:val="singleLevel"/>
    <w:tmpl w:val="4802455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52BAC"/>
    <w:rsid w:val="271357F4"/>
    <w:rsid w:val="2D396C94"/>
    <w:rsid w:val="2F294910"/>
    <w:rsid w:val="4FC668AA"/>
    <w:rsid w:val="584B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0"/>
    <w:pPr>
      <w:spacing w:after="120" w:line="480" w:lineRule="auto"/>
    </w:pPr>
    <w:rPr>
      <w:rFonts w:ascii="Calibri" w:hAnsi="Calibri"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2409</Words>
  <Characters>2422</Characters>
  <Lines>0</Lines>
  <Paragraphs>0</Paragraphs>
  <TotalTime>4</TotalTime>
  <ScaleCrop>false</ScaleCrop>
  <LinksUpToDate>false</LinksUpToDate>
  <CharactersWithSpaces>2531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2025-07-31T05:47:00Z</dcterms:created>
  <dc:creator>Administrator</dc:creator>
  <cp:lastModifiedBy>WPS_1551754900</cp:lastModifiedBy>
  <dcterms:modified xsi:type="dcterms:W3CDTF">2025-10-09T02:42:41Z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eyJoZGlkIjoiZDQzM2QzMjZmYjQ5OTNhMjA3MDhlYzNiOTEyMDRlNDEiLCJ1c2VySWQiOiI0OTE0NDgwNDMifQ==</vt:lpwstr>
  </property>
  <property fmtid="{D5CDD505-2E9C-101B-9397-08002B2CF9AE}" pid="4" name="ICV">
    <vt:lpwstr>840DC752B9C643F9BCE9D637618D6306_13</vt:lpwstr>
  </property>
</Properties>
</file>